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4" w:rsidRDefault="00594B74" w:rsidP="00594B74">
      <w:pPr>
        <w:tabs>
          <w:tab w:val="left" w:pos="720"/>
          <w:tab w:val="left" w:pos="1440"/>
          <w:tab w:val="left" w:pos="2160"/>
          <w:tab w:val="left" w:pos="2880"/>
          <w:tab w:val="left" w:pos="3947"/>
        </w:tabs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NOTICE OF MEETING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                                              AGENDA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PICKTON WATER SUPPLY CORPORATION’S BOARD OF DIRECTORS WILL MEET MONDAY, </w:t>
      </w:r>
      <w:r>
        <w:rPr>
          <w:rFonts w:ascii="Times-Bold" w:eastAsia="Calibri" w:hAnsi="Times-Bold" w:cs="Times-Bold"/>
          <w:b/>
          <w:bCs/>
          <w:sz w:val="28"/>
          <w:szCs w:val="28"/>
        </w:rPr>
        <w:t>JULY 20</w:t>
      </w:r>
      <w:r>
        <w:rPr>
          <w:rFonts w:ascii="Times-Bold" w:eastAsia="Calibri" w:hAnsi="Times-Bold" w:cs="Times-Bold"/>
          <w:b/>
          <w:bCs/>
          <w:sz w:val="28"/>
          <w:szCs w:val="28"/>
        </w:rPr>
        <w:t>, 2020 AT 6:00 P.M. AT THE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WATER OFFICE LOCATED AT 40 CR 2419, PICKTON, TEXAS.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Order of Business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Open to Public Forum: Comments from members/visit</w:t>
      </w:r>
      <w:bookmarkStart w:id="0" w:name="_GoBack"/>
      <w:bookmarkEnd w:id="0"/>
      <w:r>
        <w:rPr>
          <w:rFonts w:ascii="Times-Bold" w:eastAsia="Calibri" w:hAnsi="Times-Bold" w:cs="Times-Bold"/>
          <w:b/>
          <w:bCs/>
          <w:sz w:val="28"/>
          <w:szCs w:val="28"/>
        </w:rPr>
        <w:t>ors are limited to three minutes each.  Members/visitors who desire to speak must sign up before the meeting with the secretary at the office, two weeks before the date of the meeting.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 Board to read and approve the minutes of last meeting. </w:t>
      </w:r>
    </w:p>
    <w:p w:rsidR="00594B74" w:rsidRDefault="00594B74" w:rsidP="00594B74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General Managers Report </w:t>
      </w:r>
    </w:p>
    <w:p w:rsidR="00594B74" w:rsidRDefault="00594B74" w:rsidP="00594B74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 Financial Report</w:t>
      </w:r>
    </w:p>
    <w:p w:rsidR="00594B74" w:rsidRDefault="00594B74" w:rsidP="00594B74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Board to discuss Old Business. </w:t>
      </w:r>
    </w:p>
    <w:p w:rsidR="00594B74" w:rsidRDefault="00594B74" w:rsidP="00594B74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A. Well # 3</w:t>
      </w:r>
    </w:p>
    <w:p w:rsidR="00594B74" w:rsidRDefault="00594B74" w:rsidP="00594B74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New Business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Other business, complaints, - field report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ind w:left="360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numPr>
          <w:ilvl w:val="0"/>
          <w:numId w:val="1"/>
        </w:numPr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 xml:space="preserve">Action on Bills  </w:t>
      </w:r>
    </w:p>
    <w:p w:rsidR="00594B74" w:rsidRDefault="00594B74" w:rsidP="00594B74">
      <w:pPr>
        <w:ind w:left="720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Adjourn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  <w:r>
        <w:rPr>
          <w:rFonts w:ascii="Times-Bold" w:eastAsia="Calibri" w:hAnsi="Times-Bold" w:cs="Times-Bold"/>
          <w:b/>
          <w:bCs/>
          <w:sz w:val="28"/>
          <w:szCs w:val="28"/>
        </w:rPr>
        <w:t>Executive Sessions in accordance with Vernon’s Texas Civil Statues, Article 6251-17(f), to discuss personal matters and other (if needed)</w:t>
      </w: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594B74" w:rsidRDefault="00594B74" w:rsidP="00594B74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3C27"/>
    <w:multiLevelType w:val="hybridMultilevel"/>
    <w:tmpl w:val="FEA4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74"/>
    <w:rsid w:val="00594B74"/>
    <w:rsid w:val="009E23E9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1</cp:revision>
  <dcterms:created xsi:type="dcterms:W3CDTF">2020-07-13T21:38:00Z</dcterms:created>
  <dcterms:modified xsi:type="dcterms:W3CDTF">2020-07-13T21:39:00Z</dcterms:modified>
</cp:coreProperties>
</file>